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BDEC" w14:textId="77777777" w:rsidR="00473B90" w:rsidRDefault="000F6CB8" w:rsidP="000F6CB8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0F5D92C" wp14:editId="729913A5">
            <wp:extent cx="26384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C466" w14:textId="77777777" w:rsidR="00473B90" w:rsidRDefault="00473B90" w:rsidP="006116B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43169B3" w14:textId="77777777" w:rsidR="006116BC" w:rsidRPr="00A80DD1" w:rsidRDefault="006116BC" w:rsidP="006116B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D1">
        <w:rPr>
          <w:rFonts w:ascii="Times New Roman" w:eastAsia="Times New Roman" w:hAnsi="Times New Roman" w:cs="Times New Roman"/>
          <w:b/>
          <w:sz w:val="28"/>
          <w:szCs w:val="28"/>
        </w:rPr>
        <w:t>ANTHONY DARTEZ ENDOWMENT</w:t>
      </w:r>
      <w:r w:rsidR="00473B90" w:rsidRPr="00A80DD1">
        <w:rPr>
          <w:rFonts w:ascii="Times New Roman" w:eastAsia="Times New Roman" w:hAnsi="Times New Roman" w:cs="Times New Roman"/>
          <w:b/>
          <w:sz w:val="28"/>
          <w:szCs w:val="28"/>
        </w:rPr>
        <w:t xml:space="preserve"> FUND</w:t>
      </w:r>
    </w:p>
    <w:p w14:paraId="56B0E08D" w14:textId="77777777" w:rsidR="006116BC" w:rsidRPr="00A80DD1" w:rsidRDefault="006116BC" w:rsidP="006116B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369F9" w14:textId="77777777" w:rsidR="006116BC" w:rsidRPr="00A80DD1" w:rsidRDefault="006116BC" w:rsidP="006116B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0D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GRANT GUIDELINES</w:t>
      </w:r>
    </w:p>
    <w:p w14:paraId="4A254CC0" w14:textId="77777777" w:rsidR="006116BC" w:rsidRPr="006116BC" w:rsidRDefault="006116BC" w:rsidP="006116B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3FE2CAE" w14:textId="77777777" w:rsidR="006116BC" w:rsidRDefault="00A81187" w:rsidP="006116B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Anthony Dartez Endowment F</w:t>
      </w:r>
      <w:r w:rsidR="006116BC" w:rsidRPr="006116BC">
        <w:rPr>
          <w:rFonts w:ascii="Times New Roman" w:eastAsia="Times New Roman" w:hAnsi="Times New Roman" w:cs="Times New Roman"/>
          <w:sz w:val="28"/>
          <w:szCs w:val="28"/>
        </w:rPr>
        <w:t xml:space="preserve">und was established in April 1995 </w:t>
      </w:r>
      <w:r w:rsidR="0087790E">
        <w:rPr>
          <w:rFonts w:ascii="Times New Roman" w:eastAsia="Times New Roman" w:hAnsi="Times New Roman" w:cs="Times New Roman"/>
          <w:sz w:val="28"/>
          <w:szCs w:val="28"/>
        </w:rPr>
        <w:t xml:space="preserve">in Memory of Mr. Anthony Dartez. The fund is </w:t>
      </w:r>
      <w:r w:rsidR="006116BC" w:rsidRPr="006116BC">
        <w:rPr>
          <w:rFonts w:ascii="Times New Roman" w:eastAsia="Times New Roman" w:hAnsi="Times New Roman" w:cs="Times New Roman"/>
          <w:sz w:val="28"/>
          <w:szCs w:val="28"/>
        </w:rPr>
        <w:t xml:space="preserve">to provide </w:t>
      </w:r>
      <w:r w:rsidR="00A80DD1">
        <w:rPr>
          <w:rFonts w:ascii="Times New Roman" w:eastAsia="Times New Roman" w:hAnsi="Times New Roman" w:cs="Times New Roman"/>
          <w:sz w:val="28"/>
          <w:szCs w:val="28"/>
        </w:rPr>
        <w:t xml:space="preserve">grants for </w:t>
      </w:r>
      <w:r w:rsidR="006116BC" w:rsidRPr="006116BC">
        <w:rPr>
          <w:rFonts w:ascii="Times New Roman" w:eastAsia="Times New Roman" w:hAnsi="Times New Roman" w:cs="Times New Roman"/>
          <w:sz w:val="28"/>
          <w:szCs w:val="28"/>
        </w:rPr>
        <w:t xml:space="preserve">services including, but not limited to the training and educational needs of the </w:t>
      </w:r>
      <w:r w:rsidR="006116BC" w:rsidRPr="00A80DD1">
        <w:rPr>
          <w:rFonts w:ascii="Times New Roman" w:eastAsia="Times New Roman" w:hAnsi="Times New Roman" w:cs="Times New Roman"/>
          <w:sz w:val="28"/>
          <w:szCs w:val="28"/>
        </w:rPr>
        <w:t>physically and mentally challenged</w:t>
      </w:r>
      <w:r w:rsidR="00A80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04DB44" w14:textId="77777777" w:rsidR="00A80DD1" w:rsidRPr="006116BC" w:rsidRDefault="00A80DD1" w:rsidP="006116B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5C8130" w14:textId="77777777" w:rsidR="006116BC" w:rsidRPr="006116BC" w:rsidRDefault="006116BC" w:rsidP="006116B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D50532" w14:textId="77777777" w:rsidR="006116BC" w:rsidRPr="006116BC" w:rsidRDefault="006116BC" w:rsidP="006116B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116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Who Can Apply?</w:t>
      </w:r>
    </w:p>
    <w:p w14:paraId="7C354B8B" w14:textId="77777777" w:rsidR="006116BC" w:rsidRPr="006116BC" w:rsidRDefault="006116BC" w:rsidP="006116B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23A0016B" w14:textId="77777777" w:rsidR="006116BC" w:rsidRPr="006116BC" w:rsidRDefault="006116BC" w:rsidP="006116B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6BC">
        <w:rPr>
          <w:rFonts w:ascii="Times New Roman" w:eastAsia="Times New Roman" w:hAnsi="Times New Roman" w:cs="Times New Roman"/>
          <w:sz w:val="28"/>
          <w:szCs w:val="28"/>
        </w:rPr>
        <w:t xml:space="preserve">Non-profit, tax-exempt organizations that are involved in enhancing the quality of life for citizens of South Mississippi.  </w:t>
      </w:r>
    </w:p>
    <w:p w14:paraId="4C632B54" w14:textId="77777777" w:rsidR="006116BC" w:rsidRPr="006116BC" w:rsidRDefault="006116BC" w:rsidP="006116B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821DF8" w14:textId="77777777" w:rsidR="006116BC" w:rsidRPr="006116BC" w:rsidRDefault="006116BC" w:rsidP="006116B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6BC">
        <w:rPr>
          <w:rFonts w:ascii="Times New Roman" w:eastAsia="Times New Roman" w:hAnsi="Times New Roman" w:cs="Times New Roman"/>
          <w:sz w:val="28"/>
          <w:szCs w:val="28"/>
        </w:rPr>
        <w:t xml:space="preserve">Organizations that have not been recognized as tax-exempt by the IRS may apply if they have a fiscal agent relationship with a 501(c)(3) nonprofit organization </w:t>
      </w:r>
    </w:p>
    <w:p w14:paraId="01C46E84" w14:textId="77777777" w:rsidR="006116BC" w:rsidRPr="006116BC" w:rsidRDefault="006116BC" w:rsidP="006116B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D07300" w14:textId="77777777" w:rsidR="006116BC" w:rsidRPr="006116BC" w:rsidRDefault="006116BC" w:rsidP="006116B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6BC">
        <w:rPr>
          <w:rFonts w:ascii="Times New Roman" w:eastAsia="Times New Roman" w:hAnsi="Times New Roman" w:cs="Times New Roman"/>
          <w:sz w:val="28"/>
          <w:szCs w:val="28"/>
        </w:rPr>
        <w:t>Public and private schools on the Mississippi Gulf Coast</w:t>
      </w:r>
    </w:p>
    <w:p w14:paraId="42D8B7EB" w14:textId="77777777" w:rsidR="006116BC" w:rsidRPr="006116BC" w:rsidRDefault="006116BC" w:rsidP="006116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F1498F4" w14:textId="77777777" w:rsidR="006116BC" w:rsidRPr="006116BC" w:rsidRDefault="006116BC" w:rsidP="006116B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6BC">
        <w:rPr>
          <w:rFonts w:ascii="Times New Roman" w:eastAsia="Times New Roman" w:hAnsi="Times New Roman" w:cs="Times New Roman"/>
          <w:sz w:val="28"/>
          <w:szCs w:val="28"/>
        </w:rPr>
        <w:t>Organizations located in Harrison, Jackson and Hancock County</w:t>
      </w:r>
    </w:p>
    <w:p w14:paraId="243C6F4E" w14:textId="77777777" w:rsidR="006116BC" w:rsidRPr="006116BC" w:rsidRDefault="006116BC" w:rsidP="006116B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86D2AF" w14:textId="27D8BB9A" w:rsidR="006116BC" w:rsidRPr="006116BC" w:rsidRDefault="006116BC" w:rsidP="006116BC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6BC">
        <w:rPr>
          <w:rFonts w:ascii="Times New Roman" w:eastAsia="Times New Roman" w:hAnsi="Times New Roman" w:cs="Times New Roman"/>
          <w:sz w:val="28"/>
          <w:szCs w:val="28"/>
        </w:rPr>
        <w:t>Awards are $</w:t>
      </w:r>
      <w:r w:rsidR="00D75A03">
        <w:rPr>
          <w:rFonts w:ascii="Times New Roman" w:eastAsia="Times New Roman" w:hAnsi="Times New Roman" w:cs="Times New Roman"/>
          <w:sz w:val="28"/>
          <w:szCs w:val="28"/>
        </w:rPr>
        <w:t>2,000</w:t>
      </w:r>
      <w:r w:rsidRPr="006116BC">
        <w:rPr>
          <w:rFonts w:ascii="Times New Roman" w:eastAsia="Times New Roman" w:hAnsi="Times New Roman" w:cs="Times New Roman"/>
          <w:sz w:val="28"/>
          <w:szCs w:val="28"/>
        </w:rPr>
        <w:t xml:space="preserve"> or less not to exceed this amount.  </w:t>
      </w:r>
    </w:p>
    <w:p w14:paraId="784D6B1F" w14:textId="77777777" w:rsidR="006116BC" w:rsidRPr="006116BC" w:rsidRDefault="006116BC" w:rsidP="006116BC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14:paraId="4D138583" w14:textId="77777777" w:rsidR="009A00B3" w:rsidRDefault="009A00B3">
      <w:bookmarkStart w:id="0" w:name="_GoBack"/>
      <w:bookmarkEnd w:id="0"/>
    </w:p>
    <w:sectPr w:rsidR="009A00B3" w:rsidSect="00F838C6">
      <w:foot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F292" w14:textId="77777777" w:rsidR="00BD0063" w:rsidRDefault="00F713D1">
      <w:pPr>
        <w:spacing w:after="0" w:line="240" w:lineRule="auto"/>
      </w:pPr>
      <w:r>
        <w:separator/>
      </w:r>
    </w:p>
  </w:endnote>
  <w:endnote w:type="continuationSeparator" w:id="0">
    <w:p w14:paraId="5B99F8F9" w14:textId="77777777" w:rsidR="00BD0063" w:rsidRDefault="00F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539C" w14:textId="77777777" w:rsidR="009D17CB" w:rsidRPr="00E16010" w:rsidRDefault="006116BC" w:rsidP="00F838C6">
    <w:pPr>
      <w:jc w:val="center"/>
      <w:rPr>
        <w:rFonts w:ascii="Century Gothic" w:hAnsi="Century Gothic"/>
        <w:color w:val="4D804D"/>
      </w:rPr>
    </w:pPr>
    <w:r w:rsidRPr="00E16010">
      <w:rPr>
        <w:rFonts w:ascii="Century Gothic" w:hAnsi="Century Gothic"/>
        <w:color w:val="4D804D"/>
        <w:szCs w:val="24"/>
      </w:rPr>
      <w:t xml:space="preserve">11975 Seaway Road, </w:t>
    </w:r>
    <w:r>
      <w:rPr>
        <w:rFonts w:ascii="Century Gothic" w:hAnsi="Century Gothic"/>
        <w:color w:val="4D804D"/>
        <w:szCs w:val="24"/>
      </w:rPr>
      <w:t>Suite B-150, Gulfport, MS 39503</w:t>
    </w:r>
    <w:r w:rsidRPr="00E16010">
      <w:rPr>
        <w:color w:val="4D804D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396A7" w14:textId="77777777" w:rsidR="00BD0063" w:rsidRDefault="00F713D1">
      <w:pPr>
        <w:spacing w:after="0" w:line="240" w:lineRule="auto"/>
      </w:pPr>
      <w:r>
        <w:separator/>
      </w:r>
    </w:p>
  </w:footnote>
  <w:footnote w:type="continuationSeparator" w:id="0">
    <w:p w14:paraId="4B8D0743" w14:textId="77777777" w:rsidR="00BD0063" w:rsidRDefault="00F7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14DA3"/>
    <w:multiLevelType w:val="hybridMultilevel"/>
    <w:tmpl w:val="933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6BC"/>
    <w:rsid w:val="000E78E2"/>
    <w:rsid w:val="000F6CB8"/>
    <w:rsid w:val="00473B90"/>
    <w:rsid w:val="006116BC"/>
    <w:rsid w:val="0087790E"/>
    <w:rsid w:val="009A00B3"/>
    <w:rsid w:val="00A80DD1"/>
    <w:rsid w:val="00A81187"/>
    <w:rsid w:val="00BD0063"/>
    <w:rsid w:val="00D75A03"/>
    <w:rsid w:val="00F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D328"/>
  <w15:docId w15:val="{1688B64D-500F-4D27-854D-5FD7F0B8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Dellenger</dc:creator>
  <cp:lastModifiedBy>Lisa Schonewitz</cp:lastModifiedBy>
  <cp:revision>9</cp:revision>
  <cp:lastPrinted>2014-03-03T20:58:00Z</cp:lastPrinted>
  <dcterms:created xsi:type="dcterms:W3CDTF">2012-10-04T20:30:00Z</dcterms:created>
  <dcterms:modified xsi:type="dcterms:W3CDTF">2018-07-26T15:33:00Z</dcterms:modified>
</cp:coreProperties>
</file>